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8B66E2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8B66E2">
              <w:rPr>
                <w:rFonts w:ascii="Times New Roman" w:hAnsi="Times New Roman"/>
                <w:sz w:val="28"/>
                <w:u w:val="single"/>
              </w:rPr>
              <w:t>10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8B66E2">
              <w:rPr>
                <w:rFonts w:ascii="Times New Roman" w:hAnsi="Times New Roman"/>
                <w:sz w:val="28"/>
                <w:u w:val="single"/>
              </w:rPr>
              <w:t>февраля</w:t>
            </w:r>
            <w:r>
              <w:rPr>
                <w:rFonts w:ascii="Times New Roman" w:hAnsi="Times New Roman"/>
                <w:sz w:val="28"/>
              </w:rPr>
              <w:t xml:space="preserve"> 20</w:t>
            </w:r>
            <w:r w:rsidR="00617E48">
              <w:rPr>
                <w:rFonts w:ascii="Times New Roman" w:hAnsi="Times New Roman"/>
                <w:sz w:val="28"/>
              </w:rPr>
              <w:t>20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93453B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8B66E2">
              <w:rPr>
                <w:rFonts w:ascii="Times New Roman" w:hAnsi="Times New Roman"/>
                <w:sz w:val="28"/>
                <w:u w:val="single"/>
              </w:rPr>
              <w:t>6</w:t>
            </w:r>
            <w:r w:rsidR="0093453B">
              <w:rPr>
                <w:rFonts w:ascii="Times New Roman" w:hAnsi="Times New Roman"/>
                <w:sz w:val="28"/>
                <w:u w:val="single"/>
              </w:rPr>
              <w:t>5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</w:t>
      </w:r>
      <w:r w:rsidR="00617E48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</w:t>
      </w:r>
      <w:r w:rsidR="00617E48">
        <w:rPr>
          <w:rFonts w:ascii="Times New Roman" w:hAnsi="Times New Roman"/>
          <w:sz w:val="28"/>
          <w:szCs w:val="28"/>
        </w:rPr>
        <w:t>1</w:t>
      </w:r>
      <w:r w:rsidR="005902DD">
        <w:rPr>
          <w:rFonts w:ascii="Times New Roman" w:hAnsi="Times New Roman"/>
          <w:sz w:val="28"/>
          <w:szCs w:val="28"/>
        </w:rPr>
        <w:t>-20</w:t>
      </w:r>
      <w:r w:rsidR="00617E48">
        <w:rPr>
          <w:rFonts w:ascii="Times New Roman" w:hAnsi="Times New Roman"/>
          <w:sz w:val="28"/>
          <w:szCs w:val="28"/>
        </w:rPr>
        <w:t>22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 от 31.10.2019 № 400-п;</w:t>
      </w:r>
      <w:r w:rsidR="00CD0408">
        <w:rPr>
          <w:rFonts w:ascii="Times New Roman" w:hAnsi="Times New Roman"/>
          <w:color w:val="000000"/>
          <w:sz w:val="28"/>
          <w:szCs w:val="28"/>
        </w:rPr>
        <w:t xml:space="preserve">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D7369A">
        <w:rPr>
          <w:rFonts w:ascii="Times New Roman" w:hAnsi="Times New Roman"/>
          <w:color w:val="000000"/>
          <w:sz w:val="28"/>
          <w:szCs w:val="28"/>
        </w:rPr>
        <w:t xml:space="preserve"> 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 от 16.12.2019 № 487-п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5E27C9">
        <w:rPr>
          <w:rFonts w:ascii="Times New Roman" w:hAnsi="Times New Roman"/>
          <w:color w:val="000000"/>
          <w:sz w:val="28"/>
          <w:szCs w:val="28"/>
        </w:rPr>
        <w:t>19</w:t>
      </w:r>
      <w:r w:rsidR="006A4EFF">
        <w:rPr>
          <w:rFonts w:ascii="Times New Roman" w:hAnsi="Times New Roman"/>
          <w:color w:val="000000"/>
          <w:sz w:val="28"/>
          <w:szCs w:val="28"/>
        </w:rPr>
        <w:t>.12.2019 № 511-п</w:t>
      </w:r>
      <w:r w:rsidR="00182683">
        <w:rPr>
          <w:rFonts w:ascii="Times New Roman" w:hAnsi="Times New Roman"/>
          <w:color w:val="000000"/>
          <w:sz w:val="28"/>
          <w:szCs w:val="28"/>
        </w:rPr>
        <w:t>;</w:t>
      </w:r>
      <w:r w:rsidR="00182683" w:rsidRPr="00182683">
        <w:t xml:space="preserve"> 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82683">
        <w:rPr>
          <w:rFonts w:ascii="Times New Roman" w:hAnsi="Times New Roman"/>
          <w:color w:val="000000"/>
          <w:sz w:val="28"/>
          <w:szCs w:val="28"/>
        </w:rPr>
        <w:t>28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182683">
        <w:rPr>
          <w:rFonts w:ascii="Times New Roman" w:hAnsi="Times New Roman"/>
          <w:color w:val="000000"/>
          <w:sz w:val="28"/>
          <w:szCs w:val="28"/>
        </w:rPr>
        <w:t>01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182683">
        <w:rPr>
          <w:rFonts w:ascii="Times New Roman" w:hAnsi="Times New Roman"/>
          <w:color w:val="000000"/>
          <w:sz w:val="28"/>
          <w:szCs w:val="28"/>
        </w:rPr>
        <w:t>20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82683">
        <w:rPr>
          <w:rFonts w:ascii="Times New Roman" w:hAnsi="Times New Roman"/>
          <w:color w:val="000000"/>
          <w:sz w:val="28"/>
          <w:szCs w:val="28"/>
        </w:rPr>
        <w:t>2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5-п</w:t>
      </w:r>
      <w:proofErr w:type="gramStart"/>
      <w:r w:rsidR="00182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proofErr w:type="gramEnd"/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1 22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330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096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,94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144 651 623,88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C55DF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C55DF" w:rsidRPr="003C55DF">
              <w:rPr>
                <w:rFonts w:ascii="Times New Roman" w:hAnsi="Times New Roman"/>
                <w:sz w:val="28"/>
                <w:szCs w:val="28"/>
              </w:rPr>
              <w:t xml:space="preserve">144 760 976,00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142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7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="008A6455">
              <w:rPr>
                <w:rFonts w:ascii="Times New Roman" w:hAnsi="Times New Roman"/>
                <w:sz w:val="28"/>
                <w:szCs w:val="28"/>
              </w:rPr>
              <w:t>9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780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0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12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403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377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142 293 576,00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141 9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576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141 969 609,00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1 143 166 996,70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DA754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DA754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lastRenderedPageBreak/>
              <w:t>2018 год – 27 210 597,44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8A6455" w:rsidP="00DA7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84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719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26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1 358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826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72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597 6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44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,32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5 006 700,00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216 956,74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3 051 589,38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601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946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205 855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рублей.</w:t>
            </w:r>
          </w:p>
          <w:p w:rsidR="004D40BF" w:rsidRPr="00651CF7" w:rsidRDefault="008A6455" w:rsidP="008A6455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2 963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C64FFB" w:rsidRDefault="00F22C4C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7D7BB4" w:rsidTr="00C64FFB">
        <w:trPr>
          <w:trHeight w:val="20"/>
        </w:trPr>
        <w:tc>
          <w:tcPr>
            <w:tcW w:w="3412" w:type="dxa"/>
          </w:tcPr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7D7BB4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Общий объем финансирования подпрограммы 2 составит 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19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087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985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64 098 231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63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507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2022 год – 6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499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247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63 127 231,00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 62 801 231,00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62 801 231,00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AF4886">
              <w:rPr>
                <w:rFonts w:ascii="Times New Roman" w:eastAsia="Arial" w:hAnsi="Times New Roman"/>
                <w:sz w:val="28"/>
                <w:szCs w:val="28"/>
              </w:rPr>
              <w:t>188 729 693,00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7D7BB4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7D7BB4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571 000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72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319,26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1 246 426,62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7D7BB4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1 889 745,88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216 956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74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7732A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2022 год – 3 051 589,38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3 268 546,12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 40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рублей.</w:t>
            </w:r>
          </w:p>
          <w:p w:rsidR="00C64FFB" w:rsidRPr="007D7BB4" w:rsidRDefault="00DA7546" w:rsidP="007D7BB4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1 200 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732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1400E" w:rsidRPr="00CD0408" w:rsidRDefault="0011400E" w:rsidP="001140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Pr="008B0002">
        <w:rPr>
          <w:rFonts w:ascii="Times New Roman" w:hAnsi="Times New Roman"/>
          <w:sz w:val="28"/>
          <w:szCs w:val="28"/>
        </w:rPr>
        <w:t xml:space="preserve"> Вестник</w:t>
      </w:r>
      <w:r>
        <w:rPr>
          <w:rFonts w:ascii="Times New Roman" w:hAnsi="Times New Roman"/>
          <w:sz w:val="28"/>
          <w:szCs w:val="28"/>
        </w:rPr>
        <w:t>»</w:t>
      </w:r>
      <w:r w:rsidR="007732A6">
        <w:rPr>
          <w:rFonts w:ascii="Times New Roman" w:hAnsi="Times New Roman"/>
          <w:sz w:val="28"/>
          <w:szCs w:val="28"/>
        </w:rPr>
        <w:t xml:space="preserve"> и применяется с 31 января 2020 года.</w:t>
      </w:r>
    </w:p>
    <w:p w:rsidR="00125B8F" w:rsidRDefault="00CD0408" w:rsidP="00CD04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8B66E2"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8B66E2">
        <w:rPr>
          <w:rFonts w:ascii="Times New Roman" w:hAnsi="Times New Roman"/>
          <w:sz w:val="20"/>
          <w:szCs w:val="20"/>
          <w:u w:val="single"/>
        </w:rPr>
        <w:t>02.</w:t>
      </w:r>
      <w:r w:rsidR="00617E48">
        <w:rPr>
          <w:rFonts w:ascii="Times New Roman" w:hAnsi="Times New Roman"/>
          <w:sz w:val="20"/>
          <w:szCs w:val="20"/>
          <w:u w:val="single"/>
        </w:rPr>
        <w:t>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8B66E2">
        <w:rPr>
          <w:rFonts w:ascii="Times New Roman" w:hAnsi="Times New Roman"/>
          <w:sz w:val="20"/>
          <w:szCs w:val="20"/>
          <w:u w:val="single"/>
        </w:rPr>
        <w:t>6</w:t>
      </w:r>
      <w:r w:rsidR="0093453B">
        <w:rPr>
          <w:rFonts w:ascii="Times New Roman" w:hAnsi="Times New Roman"/>
          <w:sz w:val="20"/>
          <w:szCs w:val="20"/>
          <w:u w:val="single"/>
        </w:rPr>
        <w:t>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617E48" w:rsidRPr="00617E48" w:rsidTr="00617E48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главного распорядителя бюджетных средств (дале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е-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программ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144 760 976,00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AF4886" w:rsidRDefault="00AF4886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350AD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144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976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253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716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88 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572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2F2471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29 716 897,00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2F2471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88 572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124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64 098 231,00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087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098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231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195 087 985,00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AF4886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31 295 946,00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91 700 438,00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31 295 946,00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91 700 438,00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58 949 706,00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58 949 706,00</w:t>
            </w:r>
          </w:p>
        </w:tc>
      </w:tr>
      <w:tr w:rsidR="00617E48" w:rsidRPr="00617E48" w:rsidTr="00617E4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8B66E2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02.2020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6</w:t>
      </w:r>
      <w:r w:rsidR="0093453B">
        <w:rPr>
          <w:rFonts w:ascii="Times New Roman" w:hAnsi="Times New Roman"/>
          <w:sz w:val="20"/>
          <w:szCs w:val="20"/>
          <w:u w:val="single"/>
        </w:rPr>
        <w:t>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617E48" w:rsidRPr="00617E48" w:rsidTr="00617E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144 760 976,00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142 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252,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780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025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AF4886" w:rsidRDefault="00AF4886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067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610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7E48" w:rsidRPr="00617E48" w:rsidTr="00617E48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AF4886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142 293 576,00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141 969 609,00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426 230 761,00</w:t>
            </w:r>
          </w:p>
        </w:tc>
      </w:tr>
      <w:tr w:rsidR="00617E48" w:rsidRPr="00617E48" w:rsidTr="00617E4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73820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29 428 630,00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402 700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627 5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617E48" w:rsidRPr="00617E48" w:rsidTr="00617E4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29 316 230,00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87 9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690,00</w:t>
            </w:r>
          </w:p>
        </w:tc>
      </w:tr>
      <w:tr w:rsidR="00617E48" w:rsidRPr="00617E48" w:rsidTr="00617E48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820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64 098 231,00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820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087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72 319,26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1 246 426,62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1 889 745,88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773820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63 127 231,00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820" w:rsidP="000E5EF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188 729 693,00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31 295 946,00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91 700 438,00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1 093 700,00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90 606 738,00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58 949 706,00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58 949 706,00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D76A1D" w:rsidRPr="00684C28" w:rsidRDefault="00D76A1D" w:rsidP="00D76A1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8B66E2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02.2020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6</w:t>
      </w:r>
      <w:r w:rsidR="0093453B">
        <w:rPr>
          <w:rFonts w:ascii="Times New Roman" w:hAnsi="Times New Roman"/>
          <w:sz w:val="20"/>
          <w:szCs w:val="20"/>
          <w:u w:val="single"/>
        </w:rPr>
        <w:t>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DA7546" w:rsidRPr="00DA7546" w:rsidTr="00DA7546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A7546" w:rsidRPr="00DA7546" w:rsidTr="00DA7546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2022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2: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73820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64 098 231,00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499 247,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73820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1: Организация деятельности клубных формирований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896 035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 Гастрольная деятельность народного театра "Самородок", кукольных театров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Чударики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»,  «Зазеркалье»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692 124,00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Показ не менее 4 новых постановок ежегодно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 Развитие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народных художественных промыслов и ремесел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082008420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277 911,00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выездных выставках-ярмарках не менее 1 раза в год. Организация выставок–ярмарок не менее 3 раз в год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2: Сохранение и развитие традиционной народной культуры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73820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52 889 708,00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73820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306 000,00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</w:tc>
      </w:tr>
      <w:tr w:rsidR="00DA7546" w:rsidRPr="00DA7546" w:rsidTr="00DA7546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Проведение районного фестиваля «Хлебосольный край» к празднованию Дня металлурга в Северо-Енисейском районе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 не менее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человек участников мероприятий не менее 400 человек зрителей</w:t>
            </w:r>
          </w:p>
        </w:tc>
      </w:tr>
      <w:tr w:rsidR="00DA7546" w:rsidRPr="00DA7546" w:rsidTr="00DA7546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 Проведение районного народного гуляния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Вельминская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подледка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2.5. Проведение межнационального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этно-туристического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фестиваля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СЭВЭКИ-Легенды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Севера»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 Проведение цикла мероприятий, посвящённых народным гуляньям «Масленица»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 Проведение районной акции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Североенисейцы-Защитникам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Отечества» в рамках празднования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1 501 650,00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2.9. Проведение мероприятий посвященных празднованию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658 515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9790F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2 204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739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97 350,00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2.11. Проведение мероприятий посвященных Дню памяти и скорби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150 участников мероприятий</w:t>
            </w:r>
          </w:p>
        </w:tc>
      </w:tr>
      <w:tr w:rsidR="00DA7546" w:rsidRPr="00DA7546" w:rsidTr="00DA7546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2.12.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318 000,00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EB02A5" w:rsidRPr="00DA7546" w:rsidTr="00F5310E">
        <w:trPr>
          <w:trHeight w:val="10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D038FD" w:rsidRDefault="00EB02A5" w:rsidP="00F5310E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38F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2.13.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8B7EB8" w:rsidRPr="00DA7546" w:rsidTr="00D34741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R4670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304 517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5 062 613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Pr="00DA7546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укрепления материально-технической базы муниципальных домов культуры в населенных пунктах с числом жителей до 50 тысяч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:rsidR="008B7EB8" w:rsidRPr="008B7EB8" w:rsidRDefault="008B7EB8" w:rsidP="00D34741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качества предоставляемых услуг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8B7EB8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8B7EB8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48 331 843,00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602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182683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843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144 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630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288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119 027 754,00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бюджетного учреждения «Централизованная клубная система», в том числе содержание сотрудников в количестве 46 штатных единиц, улучшение материально-технической базы.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1 341 000,00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726 750,00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1 290 600,00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15 508 515,00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2 430 000,00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1 356 000,00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245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5 570,00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773820">
        <w:trPr>
          <w:trHeight w:val="1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435 280,00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35 280,00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1 200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 3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29 742 093,00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152 400,00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внутришкольных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районных мероприятий, смотров и отчетных концертов</w:t>
            </w:r>
          </w:p>
        </w:tc>
      </w:tr>
      <w:tr w:rsidR="00EB02A5" w:rsidRPr="00DA7546" w:rsidTr="00EB02A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BC21F6" w:rsidRDefault="00EB02A5" w:rsidP="00F5310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уровня 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среднемесячной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заработной платы педагогических работников дополнительного образования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не ниже 65 758,1 рублей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29 589 693,00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Ежегодное обучение не менее 60 человек учащихся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24 343 698,00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муниципального бюджетного учреждения дополнительного образования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15 штатных единиц, улучшение материально-технической базы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.4.Расходы, связанные со служебными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342 000,00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328 200,00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225 000,00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2 059 926,00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483 000,00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549 000,00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</w:t>
            </w: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496 869,00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64FFB" w:rsidRDefault="00C64FFB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64FFB" w:rsidRDefault="00C64FFB">
      <w:pPr>
        <w:rPr>
          <w:rFonts w:ascii="Times New Roman" w:hAnsi="Times New Roman"/>
          <w:sz w:val="20"/>
          <w:szCs w:val="20"/>
        </w:rPr>
      </w:pPr>
    </w:p>
    <w:sectPr w:rsidR="00C64FFB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75" w:rsidRDefault="001D5875">
      <w:r>
        <w:separator/>
      </w:r>
    </w:p>
  </w:endnote>
  <w:endnote w:type="continuationSeparator" w:id="0">
    <w:p w:rsidR="001D5875" w:rsidRDefault="001D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15A4179E-4D6B-49FB-998D-8FD6726B5D14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75" w:rsidRDefault="001D5875">
      <w:r>
        <w:separator/>
      </w:r>
    </w:p>
  </w:footnote>
  <w:footnote w:type="continuationSeparator" w:id="0">
    <w:p w:rsidR="001D5875" w:rsidRDefault="001D5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4C" w:rsidRDefault="004807A8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2C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2C4C" w:rsidRDefault="00F22C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5EF8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2683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875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1CF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2471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34969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55DF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7A8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26A6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7C9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17E48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1468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4EFF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32A6"/>
    <w:rsid w:val="00773820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9790F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57AD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DA8"/>
    <w:rsid w:val="007D3326"/>
    <w:rsid w:val="007D62DA"/>
    <w:rsid w:val="007D7056"/>
    <w:rsid w:val="007D7BB4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0A5D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6455"/>
    <w:rsid w:val="008A7297"/>
    <w:rsid w:val="008B0002"/>
    <w:rsid w:val="008B0769"/>
    <w:rsid w:val="008B1DC1"/>
    <w:rsid w:val="008B3E33"/>
    <w:rsid w:val="008B5129"/>
    <w:rsid w:val="008B536F"/>
    <w:rsid w:val="008B66E2"/>
    <w:rsid w:val="008B7258"/>
    <w:rsid w:val="008B77F1"/>
    <w:rsid w:val="008B7B38"/>
    <w:rsid w:val="008B7CBA"/>
    <w:rsid w:val="008B7EB8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05CBF"/>
    <w:rsid w:val="00913381"/>
    <w:rsid w:val="009133CC"/>
    <w:rsid w:val="00914E8B"/>
    <w:rsid w:val="00914FA6"/>
    <w:rsid w:val="0091540E"/>
    <w:rsid w:val="009176AB"/>
    <w:rsid w:val="00917E6F"/>
    <w:rsid w:val="00921766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53B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4886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1B8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21F6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5A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8FD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A7546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0AD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15D"/>
    <w:rsid w:val="00EA2655"/>
    <w:rsid w:val="00EA2A46"/>
    <w:rsid w:val="00EA305D"/>
    <w:rsid w:val="00EA38A1"/>
    <w:rsid w:val="00EA59E6"/>
    <w:rsid w:val="00EA5B94"/>
    <w:rsid w:val="00EA70FD"/>
    <w:rsid w:val="00EA7546"/>
    <w:rsid w:val="00EB02A5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2C4C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0E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743F-42B8-4F49-8A4E-394809F7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20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24355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99</cp:revision>
  <cp:lastPrinted>2020-01-30T08:08:00Z</cp:lastPrinted>
  <dcterms:created xsi:type="dcterms:W3CDTF">2019-02-28T12:07:00Z</dcterms:created>
  <dcterms:modified xsi:type="dcterms:W3CDTF">2020-02-11T07:36:00Z</dcterms:modified>
</cp:coreProperties>
</file>